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120"/>
        <w:ind/>
        <w:rPr>
          <w:rFonts w:eastAsia="Malgun Gothic"/>
          <w:b/>
          <w:bCs/>
          <w:sz w:val="28"/>
          <w:szCs w:val="28"/>
        </w:rPr>
      </w:pPr>
      <w:r/>
      <w:bookmarkStart w:id="0" w:name="_GoBack"/>
      <w:r>
        <w:rPr>
          <w:rFonts w:eastAsia="Malgun Gothic"/>
          <w:b/>
          <w:bCs/>
          <w:sz w:val="28"/>
          <w:szCs w:val="28"/>
        </w:rPr>
        <w:t xml:space="preserve">Центральное МТУ по надзору за ЯРБ Ростехнадзора проведет публичн</w:t>
      </w:r>
      <w:r>
        <w:rPr>
          <w:rFonts w:eastAsia="Malgun Gothic"/>
          <w:b/>
          <w:bCs/>
          <w:sz w:val="28"/>
          <w:szCs w:val="28"/>
        </w:rPr>
        <w:t xml:space="preserve">ы</w:t>
      </w:r>
      <w:r>
        <w:rPr>
          <w:rFonts w:eastAsia="Malgun Gothic"/>
          <w:b/>
          <w:bCs/>
          <w:sz w:val="28"/>
          <w:szCs w:val="28"/>
        </w:rPr>
        <w:t xml:space="preserve">е обсуждени</w:t>
      </w:r>
      <w:r>
        <w:rPr>
          <w:rFonts w:eastAsia="Malgun Gothic"/>
          <w:b/>
          <w:bCs/>
          <w:sz w:val="28"/>
          <w:szCs w:val="28"/>
        </w:rPr>
        <w:t xml:space="preserve">я </w:t>
      </w:r>
      <w:r>
        <w:rPr>
          <w:rFonts w:eastAsia="Malgun Gothic"/>
          <w:b/>
          <w:bCs/>
          <w:sz w:val="28"/>
          <w:szCs w:val="28"/>
        </w:rPr>
        <w:t xml:space="preserve">правоприменительной практики за III квартал 2024 года</w:t>
      </w:r>
      <w:bookmarkEnd w:id="0"/>
      <w:r/>
      <w:r>
        <w:rPr>
          <w:rFonts w:eastAsia="Malgun Gothic"/>
          <w:b/>
          <w:bCs/>
          <w:sz w:val="28"/>
          <w:szCs w:val="28"/>
        </w:rPr>
      </w:r>
    </w:p>
    <w:p>
      <w:pPr>
        <w:widowControl w:val="false"/>
        <w:pBdr/>
        <w:spacing w:before="120"/>
        <w:ind/>
        <w:rPr>
          <w:rFonts w:eastAsia="Malgun Gothic"/>
          <w:b/>
          <w:sz w:val="28"/>
          <w:szCs w:val="28"/>
        </w:rPr>
      </w:pPr>
      <w:r>
        <w:rPr>
          <w:rFonts w:eastAsia="Malgun Gothic"/>
          <w:b/>
          <w:sz w:val="28"/>
          <w:szCs w:val="28"/>
        </w:rPr>
      </w:r>
      <w:r>
        <w:rPr>
          <w:rFonts w:eastAsia="Malgun Gothic"/>
          <w:b/>
          <w:sz w:val="28"/>
          <w:szCs w:val="28"/>
        </w:rPr>
      </w:r>
    </w:p>
    <w:p>
      <w:pPr>
        <w:widowControl w:val="false"/>
        <w:pBdr/>
        <w:spacing w:line="360" w:lineRule="auto"/>
        <w:ind w:firstLine="709"/>
        <w:jc w:val="both"/>
        <w:rPr/>
      </w:pPr>
      <w:r>
        <w:rPr>
          <w:rFonts w:eastAsia="Malgun Gothic"/>
          <w:sz w:val="28"/>
          <w:szCs w:val="28"/>
        </w:rPr>
        <w:t xml:space="preserve">Центральное МТУ по надзору за ЯРБ Ростехнадзора 23 октября 2024 года в режиме видеоконференции проведет публичн</w:t>
      </w:r>
      <w:r>
        <w:rPr>
          <w:rFonts w:eastAsia="Malgun Gothic"/>
          <w:sz w:val="28"/>
          <w:szCs w:val="28"/>
        </w:rPr>
        <w:t xml:space="preserve">ы</w:t>
      </w:r>
      <w:r>
        <w:rPr>
          <w:rFonts w:eastAsia="Malgun Gothic"/>
          <w:sz w:val="28"/>
          <w:szCs w:val="28"/>
        </w:rPr>
        <w:t xml:space="preserve">е обсуждени</w:t>
      </w:r>
      <w:r>
        <w:rPr>
          <w:rFonts w:eastAsia="Malgun Gothic"/>
          <w:sz w:val="28"/>
          <w:szCs w:val="28"/>
        </w:rPr>
        <w:t xml:space="preserve">я</w:t>
      </w:r>
      <w:r>
        <w:rPr>
          <w:rFonts w:eastAsia="Malgun Gothic"/>
          <w:sz w:val="28"/>
          <w:szCs w:val="28"/>
        </w:rPr>
        <w:t xml:space="preserve"> </w:t>
      </w:r>
      <w:r>
        <w:rPr>
          <w:rFonts w:eastAsia="Malgun Gothic"/>
          <w:sz w:val="28"/>
          <w:szCs w:val="28"/>
        </w:rPr>
        <w:t xml:space="preserve">п</w:t>
      </w:r>
      <w:r>
        <w:rPr>
          <w:rFonts w:eastAsia="Malgun Gothic"/>
          <w:sz w:val="28"/>
          <w:szCs w:val="28"/>
        </w:rPr>
        <w:t xml:space="preserve">равоприменительной практики за III квартал 2024 года.</w:t>
      </w:r>
      <w:r/>
    </w:p>
    <w:p>
      <w:pPr>
        <w:widowControl w:val="false"/>
        <w:pBdr/>
        <w:spacing w:line="360" w:lineRule="auto"/>
        <w:ind w:firstLine="709"/>
        <w:jc w:val="both"/>
        <w:rPr/>
      </w:pPr>
      <w:r>
        <w:rPr>
          <w:rFonts w:eastAsia="Malgun Gothic"/>
          <w:sz w:val="28"/>
          <w:szCs w:val="28"/>
        </w:rPr>
        <w:t xml:space="preserve">Для участия приглашаются федеральные органы исполнительной власти, органы местного само</w:t>
      </w:r>
      <w:r>
        <w:rPr>
          <w:rFonts w:eastAsia="Malgun Gothic"/>
          <w:sz w:val="28"/>
          <w:szCs w:val="28"/>
        </w:rPr>
        <w:t xml:space="preserve">управления и поднадзорные Центральному МТУ по надзору за ЯРБ организации.</w:t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9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Информация о типе и способе подключения к видеоконференцсвязи будет размещена на официальном сайте Управления в разделе </w:t>
      </w:r>
      <w:hyperlink r:id="rId9" w:tooltip="http://cntr-nrs.gosnadzor.ru/activity/publichnye-obsuzhdeniya-rezultatov-pravoprimenitelnoy-praktiki-tsentralnogo-mtu-po-nadzoru-za-yarb/publichnye-obsuzhdeniya-rezultatov-pravoprimenitelnoy-praktiki-v-2024-godu/publichnoe-obsuzhdenie-rezultatov-pravoprime" w:history="1">
        <w:r>
          <w:rPr>
            <w:rStyle w:val="873"/>
            <w:rFonts w:eastAsia="Malgun Gothic"/>
            <w:sz w:val="28"/>
            <w:szCs w:val="28"/>
          </w:rPr>
          <w:t xml:space="preserve">«</w:t>
        </w:r>
        <w:r>
          <w:rPr>
            <w:rStyle w:val="873"/>
            <w:rFonts w:eastAsia="Malgun Gothic"/>
            <w:sz w:val="28"/>
            <w:szCs w:val="28"/>
          </w:rPr>
          <w:t xml:space="preserve">Публичные мероприятия»</w:t>
        </w:r>
      </w:hyperlink>
      <w:r>
        <w:rPr>
          <w:rFonts w:eastAsia="Malgun Gothic"/>
          <w:sz w:val="28"/>
          <w:szCs w:val="28"/>
        </w:rPr>
        <w:t xml:space="preserve">.</w:t>
      </w:r>
      <w:r>
        <w:rPr>
          <w:rFonts w:eastAsia="Malgun Gothic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680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Malgun Gothic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07"/>
      </w:pPr>
      <w:rPr>
        <w:rFonts w:hint="default" w:ascii="Times New Roman" w:hAnsi="Times New Roman" w:eastAsia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4 Char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3"/>
    <w:link w:val="7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3"/>
    <w:link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3"/>
    <w:link w:val="7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693"/>
    <w:link w:val="7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3"/>
    <w:link w:val="714"/>
    <w:uiPriority w:val="99"/>
    <w:pPr>
      <w:pBdr/>
      <w:spacing/>
      <w:ind/>
    </w:pPr>
  </w:style>
  <w:style w:type="character" w:styleId="181">
    <w:name w:val="Footnote Text Char"/>
    <w:basedOn w:val="693"/>
    <w:link w:val="84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3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6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8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Heading 1"/>
    <w:basedOn w:val="683"/>
    <w:next w:val="683"/>
    <w:link w:val="6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link w:val="869"/>
    <w:uiPriority w:val="9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character" w:styleId="696" w:customStyle="1">
    <w:name w:val="Заголовок 1 Знак"/>
    <w:basedOn w:val="693"/>
    <w:link w:val="6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8" w:customStyle="1">
    <w:name w:val="Heading 3 Char"/>
    <w:basedOn w:val="6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pBdr/>
      <w:spacing w:after="0" w:line="240" w:lineRule="auto"/>
      <w:ind/>
    </w:pPr>
  </w:style>
  <w:style w:type="paragraph" w:styleId="706">
    <w:name w:val="Title"/>
    <w:basedOn w:val="683"/>
    <w:next w:val="683"/>
    <w:link w:val="7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7" w:customStyle="1">
    <w:name w:val="Название Знак"/>
    <w:basedOn w:val="693"/>
    <w:link w:val="706"/>
    <w:uiPriority w:val="10"/>
    <w:pPr>
      <w:pBdr/>
      <w:spacing/>
      <w:ind/>
    </w:pPr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pBdr/>
      <w:spacing w:after="200" w:before="200"/>
      <w:ind/>
    </w:pPr>
  </w:style>
  <w:style w:type="character" w:styleId="709" w:customStyle="1">
    <w:name w:val="Подзаголовок Знак"/>
    <w:basedOn w:val="693"/>
    <w:link w:val="708"/>
    <w:uiPriority w:val="11"/>
    <w:pPr>
      <w:pBdr/>
      <w:spacing/>
      <w:ind/>
    </w:pPr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pBdr/>
      <w:spacing/>
      <w:ind w:right="720" w:left="720"/>
    </w:pPr>
    <w:rPr>
      <w:i/>
    </w:rPr>
  </w:style>
  <w:style w:type="character" w:styleId="711" w:customStyle="1">
    <w:name w:val="Цитата 2 Знак"/>
    <w:link w:val="710"/>
    <w:uiPriority w:val="29"/>
    <w:pPr>
      <w:pBdr/>
      <w:spacing/>
      <w:ind/>
    </w:pPr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3" w:customStyle="1">
    <w:name w:val="Выделенная цитата Знак"/>
    <w:link w:val="712"/>
    <w:uiPriority w:val="30"/>
    <w:pPr>
      <w:pBdr/>
      <w:spacing/>
      <w:ind/>
    </w:pPr>
    <w:rPr>
      <w:i/>
    </w:rPr>
  </w:style>
  <w:style w:type="paragraph" w:styleId="714">
    <w:name w:val="Header"/>
    <w:basedOn w:val="683"/>
    <w:link w:val="71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15" w:customStyle="1">
    <w:name w:val="Верхний колонтитул Знак"/>
    <w:basedOn w:val="693"/>
    <w:link w:val="714"/>
    <w:uiPriority w:val="99"/>
    <w:pPr>
      <w:pBdr/>
      <w:spacing/>
      <w:ind/>
    </w:pPr>
  </w:style>
  <w:style w:type="paragraph" w:styleId="716">
    <w:name w:val="Footer"/>
    <w:basedOn w:val="683"/>
    <w:link w:val="71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17" w:customStyle="1">
    <w:name w:val="Footer Char"/>
    <w:basedOn w:val="693"/>
    <w:uiPriority w:val="99"/>
    <w:pPr>
      <w:pBdr/>
      <w:spacing/>
      <w:ind/>
    </w:pPr>
  </w:style>
  <w:style w:type="paragraph" w:styleId="718">
    <w:name w:val="Caption"/>
    <w:basedOn w:val="683"/>
    <w:next w:val="6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  <w:pPr>
      <w:pBdr/>
      <w:spacing/>
      <w:ind/>
    </w:pPr>
  </w:style>
  <w:style w:type="table" w:styleId="720">
    <w:name w:val="Table Grid"/>
    <w:basedOn w:val="69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Table Grid Light"/>
    <w:basedOn w:val="69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69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69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1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2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3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5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6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1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2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3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4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5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6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1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2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3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4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5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6"/>
    <w:basedOn w:val="69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footnote text"/>
    <w:basedOn w:val="683"/>
    <w:link w:val="847"/>
    <w:uiPriority w:val="99"/>
    <w:semiHidden/>
    <w:unhideWhenUsed/>
    <w:pPr>
      <w:pBdr/>
      <w:spacing w:after="40"/>
      <w:ind/>
    </w:pPr>
    <w:rPr>
      <w:sz w:val="18"/>
    </w:rPr>
  </w:style>
  <w:style w:type="character" w:styleId="847" w:customStyle="1">
    <w:name w:val="Текст сноски Знак"/>
    <w:link w:val="846"/>
    <w:uiPriority w:val="99"/>
    <w:pPr>
      <w:pBdr/>
      <w:spacing/>
      <w:ind/>
    </w:pPr>
    <w:rPr>
      <w:sz w:val="18"/>
    </w:rPr>
  </w:style>
  <w:style w:type="character" w:styleId="848">
    <w:name w:val="footnote reference"/>
    <w:basedOn w:val="693"/>
    <w:uiPriority w:val="99"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683"/>
    <w:link w:val="850"/>
    <w:uiPriority w:val="99"/>
    <w:semiHidden/>
    <w:unhideWhenUsed/>
    <w:pPr>
      <w:pBdr/>
      <w:spacing/>
      <w:ind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pPr>
      <w:pBdr/>
      <w:spacing/>
      <w:ind/>
    </w:pPr>
    <w:rPr>
      <w:sz w:val="20"/>
    </w:rPr>
  </w:style>
  <w:style w:type="character" w:styleId="851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toc 1"/>
    <w:basedOn w:val="683"/>
    <w:next w:val="683"/>
    <w:uiPriority w:val="39"/>
    <w:unhideWhenUsed/>
    <w:pPr>
      <w:pBdr/>
      <w:spacing w:after="57"/>
      <w:ind/>
    </w:pPr>
  </w:style>
  <w:style w:type="paragraph" w:styleId="853">
    <w:name w:val="toc 2"/>
    <w:basedOn w:val="683"/>
    <w:next w:val="683"/>
    <w:uiPriority w:val="39"/>
    <w:unhideWhenUsed/>
    <w:pPr>
      <w:pBdr/>
      <w:spacing w:after="57"/>
      <w:ind w:left="283"/>
    </w:pPr>
  </w:style>
  <w:style w:type="paragraph" w:styleId="854">
    <w:name w:val="toc 3"/>
    <w:basedOn w:val="683"/>
    <w:next w:val="683"/>
    <w:uiPriority w:val="39"/>
    <w:unhideWhenUsed/>
    <w:pPr>
      <w:pBdr/>
      <w:spacing w:after="57"/>
      <w:ind w:left="567"/>
    </w:pPr>
  </w:style>
  <w:style w:type="paragraph" w:styleId="855">
    <w:name w:val="toc 4"/>
    <w:basedOn w:val="683"/>
    <w:next w:val="683"/>
    <w:uiPriority w:val="39"/>
    <w:unhideWhenUsed/>
    <w:pPr>
      <w:pBdr/>
      <w:spacing w:after="57"/>
      <w:ind w:left="850"/>
    </w:pPr>
  </w:style>
  <w:style w:type="paragraph" w:styleId="856">
    <w:name w:val="toc 5"/>
    <w:basedOn w:val="683"/>
    <w:next w:val="683"/>
    <w:uiPriority w:val="39"/>
    <w:unhideWhenUsed/>
    <w:pPr>
      <w:pBdr/>
      <w:spacing w:after="57"/>
      <w:ind w:left="1134"/>
    </w:pPr>
  </w:style>
  <w:style w:type="paragraph" w:styleId="857">
    <w:name w:val="toc 6"/>
    <w:basedOn w:val="683"/>
    <w:next w:val="683"/>
    <w:uiPriority w:val="39"/>
    <w:unhideWhenUsed/>
    <w:pPr>
      <w:pBdr/>
      <w:spacing w:after="57"/>
      <w:ind w:left="1417"/>
    </w:pPr>
  </w:style>
  <w:style w:type="paragraph" w:styleId="858">
    <w:name w:val="toc 7"/>
    <w:basedOn w:val="683"/>
    <w:next w:val="683"/>
    <w:uiPriority w:val="39"/>
    <w:unhideWhenUsed/>
    <w:pPr>
      <w:pBdr/>
      <w:spacing w:after="57"/>
      <w:ind w:left="1701"/>
    </w:pPr>
  </w:style>
  <w:style w:type="paragraph" w:styleId="859">
    <w:name w:val="toc 8"/>
    <w:basedOn w:val="683"/>
    <w:next w:val="683"/>
    <w:uiPriority w:val="39"/>
    <w:unhideWhenUsed/>
    <w:pPr>
      <w:pBdr/>
      <w:spacing w:after="57"/>
      <w:ind w:left="1984"/>
    </w:pPr>
  </w:style>
  <w:style w:type="paragraph" w:styleId="860">
    <w:name w:val="toc 9"/>
    <w:basedOn w:val="683"/>
    <w:next w:val="683"/>
    <w:uiPriority w:val="39"/>
    <w:unhideWhenUsed/>
    <w:pPr>
      <w:pBdr/>
      <w:spacing w:after="57"/>
      <w:ind w:left="2268"/>
    </w:p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683"/>
    <w:next w:val="683"/>
    <w:uiPriority w:val="99"/>
    <w:unhideWhenUsed/>
    <w:pPr>
      <w:pBdr/>
      <w:spacing/>
      <w:ind/>
    </w:pPr>
  </w:style>
  <w:style w:type="paragraph" w:styleId="863" w:customStyle="1">
    <w:name w:val="ntntitle"/>
    <w:basedOn w:val="683"/>
    <w:pPr>
      <w:pBdr/>
      <w:spacing w:after="100" w:afterAutospacing="1" w:before="100" w:beforeAutospacing="1"/>
      <w:ind/>
    </w:pPr>
  </w:style>
  <w:style w:type="character" w:styleId="864" w:customStyle="1">
    <w:name w:val="grame"/>
    <w:basedOn w:val="693"/>
    <w:pPr>
      <w:pBdr/>
      <w:spacing/>
      <w:ind/>
    </w:pPr>
  </w:style>
  <w:style w:type="paragraph" w:styleId="865" w:customStyle="1">
    <w:name w:val="ntnnormal"/>
    <w:basedOn w:val="683"/>
    <w:pPr>
      <w:pBdr/>
      <w:spacing w:after="100" w:afterAutospacing="1" w:before="100" w:beforeAutospacing="1"/>
      <w:ind/>
    </w:pPr>
  </w:style>
  <w:style w:type="character" w:styleId="866" w:customStyle="1">
    <w:name w:val="spelle"/>
    <w:basedOn w:val="693"/>
    <w:pPr>
      <w:pBdr/>
      <w:spacing/>
      <w:ind/>
    </w:pPr>
  </w:style>
  <w:style w:type="paragraph" w:styleId="867" w:customStyle="1">
    <w:name w:val="Body Text 21"/>
    <w:basedOn w:val="683"/>
    <w:pPr>
      <w:pBdr/>
      <w:spacing/>
      <w:ind/>
      <w:jc w:val="both"/>
    </w:pPr>
    <w:rPr>
      <w:szCs w:val="20"/>
    </w:rPr>
  </w:style>
  <w:style w:type="paragraph" w:styleId="868" w:customStyle="1">
    <w:name w:val="Абзац списка1"/>
    <w:basedOn w:val="683"/>
    <w:pPr>
      <w:pBdr/>
      <w:spacing/>
      <w:ind w:left="720"/>
    </w:pPr>
    <w:rPr>
      <w:rFonts w:eastAsia="Calibri"/>
      <w:sz w:val="20"/>
      <w:szCs w:val="20"/>
    </w:rPr>
  </w:style>
  <w:style w:type="character" w:styleId="869" w:customStyle="1">
    <w:name w:val="Заголовок 3 Знак"/>
    <w:basedOn w:val="693"/>
    <w:link w:val="686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70" w:customStyle="1">
    <w:name w:val="mw-headline"/>
    <w:basedOn w:val="693"/>
    <w:pPr>
      <w:pBdr/>
      <w:spacing/>
      <w:ind/>
    </w:pPr>
  </w:style>
  <w:style w:type="character" w:styleId="871" w:customStyle="1">
    <w:name w:val="mw-editsection"/>
    <w:basedOn w:val="693"/>
    <w:pPr>
      <w:pBdr/>
      <w:spacing/>
      <w:ind/>
    </w:pPr>
  </w:style>
  <w:style w:type="character" w:styleId="872" w:customStyle="1">
    <w:name w:val="mw-editsection-bracket"/>
    <w:basedOn w:val="693"/>
    <w:pPr>
      <w:pBdr/>
      <w:spacing/>
      <w:ind/>
    </w:pPr>
  </w:style>
  <w:style w:type="character" w:styleId="873">
    <w:name w:val="Hyperlink"/>
    <w:basedOn w:val="69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74" w:customStyle="1">
    <w:name w:val="mw-editsection-divider"/>
    <w:basedOn w:val="693"/>
    <w:pPr>
      <w:pBdr/>
      <w:spacing/>
      <w:ind/>
    </w:pPr>
  </w:style>
  <w:style w:type="paragraph" w:styleId="875">
    <w:name w:val="List Paragraph"/>
    <w:basedOn w:val="683"/>
    <w:uiPriority w:val="34"/>
    <w:qFormat/>
    <w:pPr>
      <w:pBdr/>
      <w:spacing/>
      <w:ind w:left="720"/>
      <w:contextualSpacing w:val="true"/>
    </w:pPr>
  </w:style>
  <w:style w:type="paragraph" w:styleId="876" w:customStyle="1">
    <w:name w:val="is-revealed"/>
    <w:basedOn w:val="683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ntr-nrs.gosnadzor.ru/activity/publichnye-obsuzhdeniya-rezultatov-pravoprimenitelnoy-praktiki-tsentralnogo-mtu-po-nadzoru-za-yarb/publichnye-obsuzhdeniya-rezultatov-pravoprimenitelnoy-praktiki-v-2024-godu/publichnoe-obsuzhdenie-rezultatov-pravoprimenitelnoy-praktiki-za-tretiy-kvartal-2024-goda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Тимур</dc:creator>
  <cp:revision>3</cp:revision>
  <dcterms:created xsi:type="dcterms:W3CDTF">2024-02-02T07:44:00Z</dcterms:created>
  <dcterms:modified xsi:type="dcterms:W3CDTF">2024-10-07T12:10:47Z</dcterms:modified>
</cp:coreProperties>
</file>